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left="0" w:firstLine="0"/>
        <w:jc w:val="left"/>
        <w:rPr>
          <w:rFonts w:ascii="微软雅黑" w:hAnsi="微软雅黑" w:eastAsia="微软雅黑" w:cs="微软雅黑"/>
          <w:i w:val="0"/>
          <w:iCs w:val="0"/>
          <w:caps w:val="0"/>
          <w:color w:val="676767"/>
          <w:spacing w:val="15"/>
          <w:sz w:val="25"/>
          <w:szCs w:val="25"/>
        </w:rPr>
      </w:pPr>
      <w:bookmarkStart w:id="0" w:name="_GoBack"/>
      <w:r>
        <w:rPr>
          <w:rFonts w:hint="eastAsia" w:ascii="微软雅黑" w:hAnsi="微软雅黑" w:eastAsia="微软雅黑" w:cs="微软雅黑"/>
          <w:i w:val="0"/>
          <w:iCs w:val="0"/>
          <w:caps w:val="0"/>
          <w:color w:val="016DB5"/>
          <w:spacing w:val="15"/>
          <w:kern w:val="0"/>
          <w:sz w:val="25"/>
          <w:szCs w:val="25"/>
          <w:bdr w:val="none" w:color="auto" w:sz="0" w:space="0"/>
          <w:shd w:val="clear" w:fill="FFFFFF"/>
          <w:lang w:val="en-US" w:eastAsia="zh-CN" w:bidi="ar"/>
        </w:rPr>
        <w:t>北京仲裁委员会建设工程争议评审收费办法</w:t>
      </w:r>
    </w:p>
    <w:bookmarkEnd w:id="0"/>
    <w:p>
      <w:pPr>
        <w:keepNext w:val="0"/>
        <w:keepLines w:val="0"/>
        <w:widowControl/>
        <w:suppressLineNumbers w:val="0"/>
        <w:shd w:val="clear" w:fill="FFFFFF"/>
        <w:spacing w:line="360" w:lineRule="atLeast"/>
        <w:ind w:left="0" w:firstLine="0"/>
        <w:jc w:val="center"/>
        <w:rPr>
          <w:rFonts w:hint="eastAsia" w:ascii="微软雅黑" w:hAnsi="微软雅黑" w:eastAsia="微软雅黑" w:cs="微软雅黑"/>
          <w:i w:val="0"/>
          <w:iCs w:val="0"/>
          <w:caps w:val="0"/>
          <w:color w:val="676767"/>
          <w:spacing w:val="0"/>
          <w:sz w:val="18"/>
          <w:szCs w:val="18"/>
        </w:rPr>
      </w:pPr>
      <w:r>
        <w:rPr>
          <w:rFonts w:hint="eastAsia" w:ascii="微软雅黑" w:hAnsi="微软雅黑" w:eastAsia="微软雅黑" w:cs="微软雅黑"/>
          <w:i w:val="0"/>
          <w:iCs w:val="0"/>
          <w:caps w:val="0"/>
          <w:color w:val="676767"/>
          <w:spacing w:val="0"/>
          <w:kern w:val="0"/>
          <w:sz w:val="18"/>
          <w:szCs w:val="18"/>
          <w:shd w:val="clear" w:fill="FFFFFF"/>
          <w:lang w:val="en-US" w:eastAsia="zh-CN" w:bidi="ar"/>
        </w:rPr>
        <w:t>（2009年1月20日第五届北京仲裁委员会第四次会议讨论并通过，自2009年3月1日起施行。）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一条本收费办法在当事人约定适用《北京仲裁委员会建设工程争议评审规则》的情况下对当事人有约束力。当事人就评审中的费用事项另有约定的从其约定。本办法中未规定具体数额或计算方法的，当事人应与评审专家协商一致后在协议中进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第二条因申请建设工程争议评审解决争议产生的评审专家报酬、北京仲裁委员会（以下简称本会）行政费和其他所有费用，由当事人平均分担。当事人另有约定或本收费办法另有规定的除外。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第三条评审组由三名评审专家组成，每名评审专家应获得同等报酬，由当事人每月支付或按照评审组的工作每日支付。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第四条支付给评审专家的前24个月的报酬应当固定。此后，以评审专家与各方当事人每年签订协议的形式进行调整。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第五条评审专家应当每月收到固定金额的报酬，在当事人与评审专家所签订的协议里固定报酬应包括以下评审专家职责内容：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1、组织参加当事人和工地人员参加的评审会议；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2、组织参加评审组内部会议；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3、熟悉合同并追踪合同履行情况；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4、在履行评审专家职责期间研究当事人提交的项目报告和相关信息。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六条对于固定报酬之外因进行现场勘查、审理争议而举行的调查会以及制作评审意见等而发生的实际费用（包括差旅费、通讯费、住宿费、餐费、签证费、复印费等）及报酬应由当事人负担。当事人应当在收到评审专家关于前述费用和报酬的收费通知后15日内向评审专家支付费用或报酬。如果任何一方当事人没有按期在收到收费通知后15日内支付费用或报酬的，评审专家可在通知当事人后暂停评审工作直至当事人全额支付费用和报酬。评审专家与当事人可以约定延迟支付费用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第七条本会的行政费用包括指定评审专家产生的费用，决定评审专家退出产生的费用。该费用是不可退还的。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1、 如果当事人要求本会指定评审专家，每人次费用为5000元（指人民币，下同）。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2、 如果当事人要求本会对评审专家退出作出决定，每人次费用为5000元，该费用由提出退出请求的当事人承担。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第八条 如果一方当事人有怠于支付评审专家报酬、行政费用和其他费用的行为，任何一方当事人，可以全额垫付费用。除非自动放弃权利，垫付费用的当事人可以向怠于支付的当事人追偿其垫付的费用，当事人可以约定怠于支付费用的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九条当事人与评审专家约定通过本会向评审专家支付报酬的，本会因此所应负担的任何税费均应由当事人承担，在报酬加税费的基础上，本会还将额外收取10%的管理费。前述税费和管理费由当事人在向本会缴纳评审专家报酬时一并缴纳。当事人租用本会场地或设施的，按照本办法所附《北京仲裁委员会会议室收费标准》另行收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第十条本收费办法由本会负责解释。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第十一条本收费办法自2009年3月1日起施行。</w:t>
      </w:r>
    </w:p>
    <w:p>
      <w:pPr>
        <w:keepNext w:val="0"/>
        <w:keepLines w:val="0"/>
        <w:widowControl/>
        <w:suppressLineNumbers w:val="0"/>
        <w:shd w:val="clear" w:fill="FFFFFF"/>
        <w:spacing w:line="360" w:lineRule="atLeast"/>
        <w:ind w:left="0" w:firstLine="0"/>
        <w:jc w:val="left"/>
        <w:rPr>
          <w:rFonts w:hint="eastAsia" w:ascii="微软雅黑" w:hAnsi="微软雅黑" w:eastAsia="微软雅黑" w:cs="微软雅黑"/>
          <w:i w:val="0"/>
          <w:iCs w:val="0"/>
          <w:caps w:val="0"/>
          <w:color w:val="676767"/>
          <w:spacing w:val="0"/>
          <w:sz w:val="21"/>
          <w:szCs w:val="21"/>
        </w:rPr>
      </w:pPr>
      <w:r>
        <w:rPr>
          <w:rStyle w:val="5"/>
          <w:rFonts w:hint="eastAsia" w:ascii="微软雅黑" w:hAnsi="微软雅黑" w:eastAsia="微软雅黑" w:cs="微软雅黑"/>
          <w:i w:val="0"/>
          <w:iCs w:val="0"/>
          <w:caps w:val="0"/>
          <w:color w:val="01B6EF"/>
          <w:spacing w:val="0"/>
          <w:kern w:val="0"/>
          <w:sz w:val="22"/>
          <w:szCs w:val="22"/>
          <w:bdr w:val="none" w:color="auto" w:sz="0" w:space="0"/>
          <w:shd w:val="clear" w:fill="FFFFFF"/>
          <w:lang w:val="en-US" w:eastAsia="zh-CN" w:bidi="ar"/>
        </w:rPr>
        <w:t>附件一</w:t>
      </w:r>
      <w:r>
        <w:rPr>
          <w:rFonts w:hint="eastAsia" w:ascii="微软雅黑" w:hAnsi="微软雅黑" w:eastAsia="微软雅黑" w:cs="微软雅黑"/>
          <w:i w:val="0"/>
          <w:iCs w:val="0"/>
          <w:caps w:val="0"/>
          <w:color w:val="676767"/>
          <w:spacing w:val="0"/>
          <w:kern w:val="0"/>
          <w:sz w:val="21"/>
          <w:szCs w:val="21"/>
          <w:shd w:val="clear" w:fill="FFFFFF"/>
          <w:lang w:val="en-US" w:eastAsia="zh-CN" w:bidi="ar"/>
        </w:rPr>
        <w:t> </w:t>
      </w:r>
      <w:r>
        <w:rPr>
          <w:rStyle w:val="5"/>
          <w:rFonts w:hint="eastAsia" w:ascii="微软雅黑" w:hAnsi="微软雅黑" w:eastAsia="微软雅黑" w:cs="微软雅黑"/>
          <w:i w:val="0"/>
          <w:iCs w:val="0"/>
          <w:caps w:val="0"/>
          <w:color w:val="01B6EF"/>
          <w:spacing w:val="0"/>
          <w:kern w:val="0"/>
          <w:sz w:val="22"/>
          <w:szCs w:val="22"/>
          <w:bdr w:val="none" w:color="auto" w:sz="0" w:space="0"/>
          <w:shd w:val="clear" w:fill="FFFFFF"/>
          <w:lang w:val="en-US" w:eastAsia="zh-CN" w:bidi="ar"/>
        </w:rPr>
        <w:t>北京仲裁委员会会议室收费标准</w:t>
      </w:r>
    </w:p>
    <w:tbl>
      <w:tblPr>
        <w:tblW w:w="5000" w:type="pct"/>
        <w:tblInd w:w="0" w:type="dxa"/>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074"/>
        <w:gridCol w:w="1181"/>
        <w:gridCol w:w="958"/>
        <w:gridCol w:w="958"/>
        <w:gridCol w:w="4165"/>
      </w:tblGrid>
      <w:tr>
        <w:tblPrEx>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1080" w:type="dxa"/>
            <w:vMerge w:val="restart"/>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会议室类型</w:t>
            </w:r>
          </w:p>
        </w:tc>
        <w:tc>
          <w:tcPr>
            <w:tcW w:w="1185" w:type="dxa"/>
            <w:vMerge w:val="restart"/>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可容纳人数</w:t>
            </w:r>
          </w:p>
        </w:tc>
        <w:tc>
          <w:tcPr>
            <w:tcW w:w="0" w:type="auto"/>
            <w:gridSpan w:val="2"/>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使用费标准</w:t>
            </w:r>
          </w:p>
        </w:tc>
        <w:tc>
          <w:tcPr>
            <w:tcW w:w="4185" w:type="dxa"/>
            <w:vMerge w:val="restart"/>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附属设施、设备</w:t>
            </w:r>
          </w:p>
        </w:tc>
      </w:tr>
      <w:tr>
        <w:tblPrEx>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1080" w:type="dxa"/>
            <w:vMerge w:val="continue"/>
            <w:tcBorders>
              <w:top w:val="single" w:color="E7E7E7" w:sz="6" w:space="0"/>
              <w:left w:val="single" w:color="E7E7E7" w:sz="6" w:space="0"/>
              <w:bottom w:val="single" w:color="E7E7E7" w:sz="6" w:space="0"/>
              <w:right w:val="single" w:color="E7E7E7" w:sz="6" w:space="0"/>
            </w:tcBorders>
            <w:shd w:val="clear" w:color="auto" w:fill="999999"/>
            <w:vAlign w:val="center"/>
          </w:tcPr>
          <w:p>
            <w:pPr>
              <w:jc w:val="center"/>
              <w:rPr>
                <w:rFonts w:hint="eastAsia" w:ascii="宋体"/>
                <w:b/>
                <w:bCs/>
                <w:color w:val="FFFFFF"/>
                <w:sz w:val="24"/>
                <w:szCs w:val="24"/>
              </w:rPr>
            </w:pPr>
          </w:p>
        </w:tc>
        <w:tc>
          <w:tcPr>
            <w:tcW w:w="1185" w:type="dxa"/>
            <w:vMerge w:val="continue"/>
            <w:tcBorders>
              <w:top w:val="single" w:color="E7E7E7" w:sz="6" w:space="0"/>
              <w:left w:val="single" w:color="E7E7E7" w:sz="6" w:space="0"/>
              <w:bottom w:val="single" w:color="E7E7E7" w:sz="6" w:space="0"/>
              <w:right w:val="single" w:color="E7E7E7" w:sz="6" w:space="0"/>
            </w:tcBorders>
            <w:shd w:val="clear" w:color="auto" w:fill="999999"/>
            <w:vAlign w:val="center"/>
          </w:tcPr>
          <w:p>
            <w:pPr>
              <w:jc w:val="center"/>
              <w:rPr>
                <w:rFonts w:hint="eastAsia" w:ascii="宋体"/>
                <w:b/>
                <w:bCs/>
                <w:color w:val="FFFFFF"/>
                <w:sz w:val="24"/>
                <w:szCs w:val="24"/>
              </w:rPr>
            </w:pPr>
          </w:p>
        </w:tc>
        <w:tc>
          <w:tcPr>
            <w:tcW w:w="960" w:type="dxa"/>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元/半天</w:t>
            </w:r>
          </w:p>
        </w:tc>
        <w:tc>
          <w:tcPr>
            <w:tcW w:w="960" w:type="dxa"/>
            <w:tcBorders>
              <w:top w:val="single" w:color="E7E7E7" w:sz="6" w:space="0"/>
              <w:left w:val="single" w:color="E7E7E7" w:sz="6" w:space="0"/>
              <w:bottom w:val="single" w:color="E7E7E7" w:sz="6" w:space="0"/>
              <w:right w:val="single" w:color="E7E7E7" w:sz="6" w:space="0"/>
            </w:tcBorders>
            <w:shd w:val="clear" w:color="auto" w:fill="999999"/>
            <w:vAlign w:val="center"/>
          </w:tcPr>
          <w:p>
            <w:pPr>
              <w:keepNext w:val="0"/>
              <w:keepLines w:val="0"/>
              <w:widowControl/>
              <w:suppressLineNumbers w:val="0"/>
              <w:jc w:val="center"/>
              <w:rPr>
                <w:b/>
                <w:bCs/>
                <w:color w:val="FFFFFF"/>
              </w:rPr>
            </w:pPr>
            <w:r>
              <w:rPr>
                <w:rFonts w:ascii="宋体" w:hAnsi="宋体" w:eastAsia="宋体" w:cs="宋体"/>
                <w:b/>
                <w:bCs/>
                <w:color w:val="FFFFFF"/>
                <w:kern w:val="0"/>
                <w:sz w:val="24"/>
                <w:szCs w:val="24"/>
                <w:lang w:val="en-US" w:eastAsia="zh-CN" w:bidi="ar"/>
              </w:rPr>
              <w:t>元/天</w:t>
            </w:r>
          </w:p>
        </w:tc>
        <w:tc>
          <w:tcPr>
            <w:tcW w:w="4185" w:type="dxa"/>
            <w:vMerge w:val="continue"/>
            <w:tcBorders>
              <w:top w:val="single" w:color="E7E7E7" w:sz="6" w:space="0"/>
              <w:left w:val="single" w:color="E7E7E7" w:sz="6" w:space="0"/>
              <w:bottom w:val="single" w:color="E7E7E7" w:sz="6" w:space="0"/>
              <w:right w:val="single" w:color="E7E7E7" w:sz="6" w:space="0"/>
            </w:tcBorders>
            <w:shd w:val="clear" w:color="auto" w:fill="999999"/>
            <w:vAlign w:val="center"/>
          </w:tcPr>
          <w:p>
            <w:pPr>
              <w:jc w:val="center"/>
              <w:rPr>
                <w:rFonts w:hint="eastAsia" w:ascii="宋体"/>
                <w:b/>
                <w:bCs/>
                <w:color w:val="FFFFFF"/>
                <w:sz w:val="24"/>
                <w:szCs w:val="24"/>
              </w:rPr>
            </w:pPr>
          </w:p>
        </w:tc>
      </w:tr>
      <w:tr>
        <w:tblPrEx>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shd w:val="clear"/>
          <w:tblCellMar>
            <w:top w:w="15" w:type="dxa"/>
            <w:left w:w="15" w:type="dxa"/>
            <w:bottom w:w="15" w:type="dxa"/>
            <w:right w:w="15" w:type="dxa"/>
          </w:tblCellMar>
        </w:tblPrEx>
        <w:tc>
          <w:tcPr>
            <w:tcW w:w="108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小型会议室</w:t>
            </w:r>
          </w:p>
        </w:tc>
        <w:tc>
          <w:tcPr>
            <w:tcW w:w="1185"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10人以下</w:t>
            </w:r>
          </w:p>
        </w:tc>
        <w:tc>
          <w:tcPr>
            <w:tcW w:w="96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800</w:t>
            </w:r>
          </w:p>
        </w:tc>
        <w:tc>
          <w:tcPr>
            <w:tcW w:w="96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1500</w:t>
            </w:r>
          </w:p>
        </w:tc>
        <w:tc>
          <w:tcPr>
            <w:tcW w:w="4185"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电脑、打印机、复印机、传真和免费宽带上网</w:t>
            </w:r>
          </w:p>
        </w:tc>
      </w:tr>
      <w:tr>
        <w:tblPrEx>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shd w:val="clear"/>
          <w:tblCellMar>
            <w:top w:w="15" w:type="dxa"/>
            <w:left w:w="15" w:type="dxa"/>
            <w:bottom w:w="15" w:type="dxa"/>
            <w:right w:w="15" w:type="dxa"/>
          </w:tblCellMar>
        </w:tblPrEx>
        <w:tc>
          <w:tcPr>
            <w:tcW w:w="1080" w:type="dxa"/>
            <w:tcBorders>
              <w:top w:val="single" w:color="E7E7E7" w:sz="6" w:space="0"/>
              <w:left w:val="single" w:color="E7E7E7" w:sz="6" w:space="0"/>
              <w:bottom w:val="single" w:color="E7E7E7" w:sz="6" w:space="0"/>
              <w:right w:val="single" w:color="E7E7E7" w:sz="6" w:space="0"/>
            </w:tcBorders>
            <w:shd w:val="clear" w:color="auto" w:fill="E4E0D5"/>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中型会议室</w:t>
            </w:r>
          </w:p>
        </w:tc>
        <w:tc>
          <w:tcPr>
            <w:tcW w:w="1185" w:type="dxa"/>
            <w:tcBorders>
              <w:top w:val="single" w:color="E7E7E7" w:sz="6" w:space="0"/>
              <w:left w:val="single" w:color="E7E7E7" w:sz="6" w:space="0"/>
              <w:bottom w:val="single" w:color="E7E7E7" w:sz="6" w:space="0"/>
              <w:right w:val="single" w:color="E7E7E7" w:sz="6" w:space="0"/>
            </w:tcBorders>
            <w:shd w:val="clear" w:color="auto" w:fill="E4E0D5"/>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10人-20人</w:t>
            </w:r>
          </w:p>
        </w:tc>
        <w:tc>
          <w:tcPr>
            <w:tcW w:w="960" w:type="dxa"/>
            <w:tcBorders>
              <w:top w:val="single" w:color="E7E7E7" w:sz="6" w:space="0"/>
              <w:left w:val="single" w:color="E7E7E7" w:sz="6" w:space="0"/>
              <w:bottom w:val="single" w:color="E7E7E7" w:sz="6" w:space="0"/>
              <w:right w:val="single" w:color="E7E7E7" w:sz="6" w:space="0"/>
            </w:tcBorders>
            <w:shd w:val="clear" w:color="auto" w:fill="E4E0D5"/>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1600</w:t>
            </w:r>
          </w:p>
        </w:tc>
        <w:tc>
          <w:tcPr>
            <w:tcW w:w="960" w:type="dxa"/>
            <w:tcBorders>
              <w:top w:val="single" w:color="E7E7E7" w:sz="6" w:space="0"/>
              <w:left w:val="single" w:color="E7E7E7" w:sz="6" w:space="0"/>
              <w:bottom w:val="single" w:color="E7E7E7" w:sz="6" w:space="0"/>
              <w:right w:val="single" w:color="E7E7E7" w:sz="6" w:space="0"/>
            </w:tcBorders>
            <w:shd w:val="clear" w:color="auto" w:fill="E4E0D5"/>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3000</w:t>
            </w:r>
          </w:p>
        </w:tc>
        <w:tc>
          <w:tcPr>
            <w:tcW w:w="4185" w:type="dxa"/>
            <w:tcBorders>
              <w:top w:val="single" w:color="E7E7E7" w:sz="6" w:space="0"/>
              <w:left w:val="single" w:color="E7E7E7" w:sz="6" w:space="0"/>
              <w:bottom w:val="single" w:color="E7E7E7" w:sz="6" w:space="0"/>
              <w:right w:val="single" w:color="E7E7E7" w:sz="6" w:space="0"/>
            </w:tcBorders>
            <w:shd w:val="clear" w:color="auto" w:fill="E4E0D5"/>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电脑、打印机、复印机、传真和免费宽带上网、液晶电视、投影、评议室</w:t>
            </w:r>
          </w:p>
        </w:tc>
      </w:tr>
      <w:tr>
        <w:tblPrEx>
          <w:tblBorders>
            <w:top w:val="single" w:color="E7E7E7" w:sz="6" w:space="0"/>
            <w:left w:val="single" w:color="E7E7E7" w:sz="6" w:space="0"/>
            <w:bottom w:val="single" w:color="E7E7E7" w:sz="6" w:space="0"/>
            <w:right w:val="single" w:color="E7E7E7" w:sz="6" w:space="0"/>
            <w:insideH w:val="none" w:color="auto" w:sz="0" w:space="0"/>
            <w:insideV w:val="none" w:color="auto" w:sz="0" w:space="0"/>
          </w:tblBorders>
          <w:tblCellMar>
            <w:top w:w="15" w:type="dxa"/>
            <w:left w:w="15" w:type="dxa"/>
            <w:bottom w:w="15" w:type="dxa"/>
            <w:right w:w="15" w:type="dxa"/>
          </w:tblCellMar>
        </w:tblPrEx>
        <w:tc>
          <w:tcPr>
            <w:tcW w:w="108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大型会议室</w:t>
            </w:r>
          </w:p>
        </w:tc>
        <w:tc>
          <w:tcPr>
            <w:tcW w:w="1185"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20人-30人</w:t>
            </w:r>
          </w:p>
        </w:tc>
        <w:tc>
          <w:tcPr>
            <w:tcW w:w="96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2500</w:t>
            </w:r>
          </w:p>
        </w:tc>
        <w:tc>
          <w:tcPr>
            <w:tcW w:w="960"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4500</w:t>
            </w:r>
          </w:p>
        </w:tc>
        <w:tc>
          <w:tcPr>
            <w:tcW w:w="4185" w:type="dxa"/>
            <w:tcBorders>
              <w:top w:val="single" w:color="E7E7E7" w:sz="6" w:space="0"/>
              <w:left w:val="single" w:color="E7E7E7" w:sz="6" w:space="0"/>
              <w:bottom w:val="single" w:color="E7E7E7" w:sz="6" w:space="0"/>
              <w:right w:val="single" w:color="E7E7E7" w:sz="6" w:space="0"/>
            </w:tcBorders>
            <w:shd w:val="clear" w:color="auto" w:fill="FFFFFF"/>
            <w:tcMar>
              <w:left w:w="75" w:type="dxa"/>
            </w:tcMar>
            <w:vAlign w:val="center"/>
          </w:tcPr>
          <w:p>
            <w:pPr>
              <w:keepNext w:val="0"/>
              <w:keepLines w:val="0"/>
              <w:widowControl/>
              <w:suppressLineNumbers w:val="0"/>
              <w:spacing w:line="390" w:lineRule="atLeast"/>
              <w:jc w:val="left"/>
            </w:pPr>
            <w:r>
              <w:rPr>
                <w:rFonts w:ascii="宋体" w:hAnsi="宋体" w:eastAsia="宋体" w:cs="宋体"/>
                <w:kern w:val="0"/>
                <w:sz w:val="24"/>
                <w:szCs w:val="24"/>
                <w:bdr w:val="none" w:color="auto" w:sz="0" w:space="0"/>
                <w:lang w:val="en-US" w:eastAsia="zh-CN" w:bidi="ar"/>
              </w:rPr>
              <w:t>电脑、打印机、复印机、传真和免费宽带上网、液晶电视、投影、评议室、电子白板、视频互联（额外收取500元/半天的设备使用费）、同声传译（同声传译人员费用单独收取）</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注：上述会议室使用时间不足4小时的按半天收取使用费，超过4小时不足8小时的按全天收取使用费，超过8小时后，每小时收取全天使用费的30%。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YTBkNzkwOTcxYjhkMjRmMmQ2MWJmZjFmNDc3MjkifQ=="/>
  </w:docVars>
  <w:rsids>
    <w:rsidRoot w:val="1D8773F1"/>
    <w:rsid w:val="1D87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2023-06-15T09:52:00Z</dcterms:created>
  <dc:creator>QAQ</dc:creator>
  <cp:lastModifiedBy>QAQ</cp:lastModifiedBy>
  <dcterms:modified xsi:type="dcterms:W3CDTF">2023-06-15T09:53:01Z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D013829CA07944358652DF2040984C03_11</vt:lpwstr>
  </property>
</Properties>
</file>